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DD" w:rsidRDefault="001D368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APPLICATION FORM REGARDING THE LAW ON THE PROTECTION OF PERSONAL DATA</w:t>
      </w:r>
      <w:r w:rsidR="002A3C0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(“</w:t>
      </w:r>
      <w:r w:rsidR="002A3C0C"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b/>
          <w:bCs/>
          <w:sz w:val="20"/>
          <w:szCs w:val="20"/>
        </w:rPr>
        <w:t xml:space="preserve">DPL”) NO. 6698 </w:t>
      </w:r>
    </w:p>
    <w:p w:rsidR="005713DD" w:rsidRDefault="001D368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Article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1 – Identity of </w:t>
      </w:r>
      <w:proofErr w:type="spellStart"/>
      <w:r>
        <w:rPr>
          <w:rFonts w:cstheme="minorHAnsi"/>
          <w:b/>
          <w:bCs/>
          <w:sz w:val="20"/>
          <w:szCs w:val="20"/>
        </w:rPr>
        <w:t>the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Data Controller</w:t>
      </w:r>
    </w:p>
    <w:p w:rsidR="005713DD" w:rsidRDefault="001D368D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1.1.</w:t>
      </w:r>
      <w:r>
        <w:rPr>
          <w:rFonts w:cstheme="minorHAnsi"/>
          <w:sz w:val="20"/>
          <w:szCs w:val="20"/>
        </w:rPr>
        <w:t xml:space="preserve"> INTERPROBE Information Technologies </w:t>
      </w:r>
      <w:proofErr w:type="spellStart"/>
      <w:r>
        <w:rPr>
          <w:rFonts w:cstheme="minorHAnsi"/>
          <w:sz w:val="20"/>
          <w:szCs w:val="20"/>
        </w:rPr>
        <w:t>Inc</w:t>
      </w:r>
      <w:proofErr w:type="spellEnd"/>
      <w:r>
        <w:rPr>
          <w:rFonts w:cstheme="minorHAnsi"/>
          <w:sz w:val="20"/>
          <w:szCs w:val="20"/>
        </w:rPr>
        <w:t>., (</w:t>
      </w:r>
      <w:proofErr w:type="spellStart"/>
      <w:r>
        <w:rPr>
          <w:rFonts w:cstheme="minorHAnsi"/>
          <w:sz w:val="20"/>
          <w:szCs w:val="20"/>
        </w:rPr>
        <w:t>Will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shortened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“INTERPROBE” </w:t>
      </w:r>
      <w:proofErr w:type="spellStart"/>
      <w:r>
        <w:rPr>
          <w:rFonts w:cstheme="minorHAnsi"/>
          <w:sz w:val="20"/>
          <w:szCs w:val="20"/>
        </w:rPr>
        <w:t>or</w:t>
      </w:r>
      <w:proofErr w:type="spellEnd"/>
      <w:r>
        <w:rPr>
          <w:rFonts w:cstheme="minorHAnsi"/>
          <w:sz w:val="20"/>
          <w:szCs w:val="20"/>
        </w:rPr>
        <w:t xml:space="preserve"> “</w:t>
      </w:r>
      <w:proofErr w:type="spellStart"/>
      <w:r>
        <w:rPr>
          <w:rFonts w:cstheme="minorHAnsi"/>
          <w:sz w:val="20"/>
          <w:szCs w:val="20"/>
        </w:rPr>
        <w:t>Company</w:t>
      </w:r>
      <w:proofErr w:type="spellEnd"/>
      <w:r>
        <w:rPr>
          <w:rFonts w:cstheme="minorHAnsi"/>
          <w:sz w:val="20"/>
          <w:szCs w:val="20"/>
        </w:rPr>
        <w:t xml:space="preserve">” </w:t>
      </w:r>
      <w:proofErr w:type="spellStart"/>
      <w:r>
        <w:rPr>
          <w:rFonts w:cstheme="minorHAnsi"/>
          <w:sz w:val="20"/>
          <w:szCs w:val="20"/>
        </w:rPr>
        <w:t>hereinafter</w:t>
      </w:r>
      <w:proofErr w:type="spellEnd"/>
      <w:r>
        <w:rPr>
          <w:rFonts w:cstheme="minorHAnsi"/>
          <w:sz w:val="20"/>
          <w:szCs w:val="20"/>
        </w:rPr>
        <w:t xml:space="preserve">.) </w:t>
      </w:r>
      <w:proofErr w:type="spellStart"/>
      <w:r>
        <w:rPr>
          <w:rFonts w:cstheme="minorHAnsi"/>
          <w:sz w:val="20"/>
          <w:szCs w:val="20"/>
        </w:rPr>
        <w:t>bears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title</w:t>
      </w:r>
      <w:proofErr w:type="spellEnd"/>
      <w:r>
        <w:rPr>
          <w:rFonts w:cstheme="minorHAnsi"/>
          <w:sz w:val="20"/>
          <w:szCs w:val="20"/>
        </w:rPr>
        <w:t xml:space="preserve"> of “Data Controller”, </w:t>
      </w:r>
      <w:proofErr w:type="spellStart"/>
      <w:r>
        <w:rPr>
          <w:rFonts w:cstheme="minorHAnsi"/>
          <w:sz w:val="20"/>
          <w:szCs w:val="20"/>
        </w:rPr>
        <w:t>you</w:t>
      </w:r>
      <w:proofErr w:type="spellEnd"/>
      <w:r>
        <w:rPr>
          <w:rFonts w:cstheme="minorHAnsi"/>
          <w:sz w:val="20"/>
          <w:szCs w:val="20"/>
        </w:rPr>
        <w:t xml:space="preserve"> can </w:t>
      </w:r>
      <w:proofErr w:type="spellStart"/>
      <w:r>
        <w:rPr>
          <w:rFonts w:cstheme="minorHAnsi"/>
          <w:sz w:val="20"/>
          <w:szCs w:val="20"/>
        </w:rPr>
        <w:t>convey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requests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under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scope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your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rights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specified</w:t>
      </w:r>
      <w:proofErr w:type="spellEnd"/>
      <w:r>
        <w:rPr>
          <w:rFonts w:cstheme="minorHAnsi"/>
          <w:sz w:val="20"/>
          <w:szCs w:val="20"/>
        </w:rPr>
        <w:t xml:space="preserve"> in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11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Law</w:t>
      </w:r>
      <w:proofErr w:type="spellEnd"/>
      <w:r>
        <w:rPr>
          <w:rFonts w:cstheme="minorHAnsi"/>
          <w:sz w:val="20"/>
          <w:szCs w:val="20"/>
        </w:rPr>
        <w:t xml:space="preserve"> on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Protection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Personal</w:t>
      </w:r>
      <w:proofErr w:type="spellEnd"/>
      <w:r>
        <w:rPr>
          <w:rFonts w:cstheme="minorHAnsi"/>
          <w:sz w:val="20"/>
          <w:szCs w:val="20"/>
        </w:rPr>
        <w:t xml:space="preserve"> Data(“</w:t>
      </w:r>
      <w:r w:rsidR="00F7512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DPL”)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INTERPROBE Information Technologies </w:t>
      </w:r>
      <w:proofErr w:type="spellStart"/>
      <w:r>
        <w:rPr>
          <w:rFonts w:cstheme="minorHAnsi"/>
          <w:sz w:val="20"/>
          <w:szCs w:val="20"/>
        </w:rPr>
        <w:t>Inc</w:t>
      </w:r>
      <w:proofErr w:type="spellEnd"/>
      <w:r>
        <w:rPr>
          <w:rFonts w:cstheme="minorHAnsi"/>
          <w:sz w:val="20"/>
          <w:szCs w:val="20"/>
        </w:rPr>
        <w:t xml:space="preserve">. (“INTERPROBE”) in </w:t>
      </w:r>
      <w:proofErr w:type="spellStart"/>
      <w:r>
        <w:rPr>
          <w:rFonts w:cstheme="minorHAnsi"/>
          <w:sz w:val="20"/>
          <w:szCs w:val="20"/>
        </w:rPr>
        <w:t>accordance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with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13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Law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5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“</w:t>
      </w:r>
      <w:proofErr w:type="spellStart"/>
      <w:r>
        <w:rPr>
          <w:rFonts w:cstheme="minorHAnsi"/>
          <w:sz w:val="20"/>
          <w:szCs w:val="20"/>
        </w:rPr>
        <w:t>Communiqué</w:t>
      </w:r>
      <w:proofErr w:type="spellEnd"/>
      <w:r>
        <w:rPr>
          <w:rFonts w:cstheme="minorHAnsi"/>
          <w:sz w:val="20"/>
          <w:szCs w:val="20"/>
        </w:rPr>
        <w:t xml:space="preserve"> on Application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Data </w:t>
      </w:r>
      <w:proofErr w:type="spellStart"/>
      <w:r>
        <w:rPr>
          <w:rFonts w:cstheme="minorHAnsi"/>
          <w:sz w:val="20"/>
          <w:szCs w:val="20"/>
        </w:rPr>
        <w:t>Controllers</w:t>
      </w:r>
      <w:proofErr w:type="spellEnd"/>
      <w:r>
        <w:rPr>
          <w:rFonts w:cstheme="minorHAnsi"/>
          <w:sz w:val="20"/>
          <w:szCs w:val="20"/>
        </w:rPr>
        <w:t xml:space="preserve">” </w:t>
      </w:r>
      <w:proofErr w:type="spellStart"/>
      <w:r>
        <w:rPr>
          <w:rFonts w:cstheme="minorHAnsi"/>
          <w:sz w:val="20"/>
          <w:szCs w:val="20"/>
        </w:rPr>
        <w:t>through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one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methods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clarified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below</w:t>
      </w:r>
      <w:proofErr w:type="spellEnd"/>
      <w:r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5713DD" w:rsidRDefault="001D368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Article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2 – </w:t>
      </w:r>
      <w:proofErr w:type="spellStart"/>
      <w:r>
        <w:rPr>
          <w:rFonts w:cstheme="minorHAnsi"/>
          <w:b/>
          <w:bCs/>
          <w:sz w:val="20"/>
          <w:szCs w:val="20"/>
        </w:rPr>
        <w:t>Methods</w:t>
      </w:r>
      <w:proofErr w:type="spellEnd"/>
      <w:r>
        <w:rPr>
          <w:rFonts w:cstheme="minorHAnsi"/>
          <w:b/>
          <w:bCs/>
          <w:sz w:val="20"/>
          <w:szCs w:val="20"/>
        </w:rPr>
        <w:t xml:space="preserve"> of Application </w:t>
      </w:r>
      <w:proofErr w:type="spellStart"/>
      <w:r>
        <w:rPr>
          <w:rFonts w:cstheme="minorHAnsi"/>
          <w:b/>
          <w:bCs/>
          <w:sz w:val="20"/>
          <w:szCs w:val="20"/>
        </w:rPr>
        <w:t>and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Where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The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Submission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Is </w:t>
      </w:r>
      <w:proofErr w:type="spellStart"/>
      <w:r>
        <w:rPr>
          <w:rFonts w:cstheme="minorHAnsi"/>
          <w:b/>
          <w:bCs/>
          <w:sz w:val="20"/>
          <w:szCs w:val="20"/>
        </w:rPr>
        <w:t>to</w:t>
      </w:r>
      <w:proofErr w:type="spellEnd"/>
      <w:r>
        <w:rPr>
          <w:rFonts w:cstheme="minorHAnsi"/>
          <w:b/>
          <w:bCs/>
          <w:sz w:val="20"/>
          <w:szCs w:val="20"/>
        </w:rPr>
        <w:t xml:space="preserve"> Be </w:t>
      </w:r>
      <w:proofErr w:type="spellStart"/>
      <w:r>
        <w:rPr>
          <w:rFonts w:cstheme="minorHAnsi"/>
          <w:b/>
          <w:bCs/>
          <w:sz w:val="20"/>
          <w:szCs w:val="20"/>
        </w:rPr>
        <w:t>Made</w:t>
      </w:r>
      <w:proofErr w:type="spellEnd"/>
    </w:p>
    <w:tbl>
      <w:tblPr>
        <w:tblStyle w:val="TabloKlavuz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13DD">
        <w:trPr>
          <w:jc w:val="center"/>
        </w:trPr>
        <w:tc>
          <w:tcPr>
            <w:tcW w:w="3020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Method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Submission</w:t>
            </w:r>
            <w:proofErr w:type="spellEnd"/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Address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Submission</w:t>
            </w:r>
            <w:proofErr w:type="spellEnd"/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Information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Specified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During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Submission</w:t>
            </w:r>
            <w:proofErr w:type="spellEnd"/>
          </w:p>
        </w:tc>
      </w:tr>
      <w:tr w:rsidR="005713DD">
        <w:trPr>
          <w:jc w:val="center"/>
        </w:trPr>
        <w:tc>
          <w:tcPr>
            <w:tcW w:w="3020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Personal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application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signed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revelation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identity</w:t>
            </w:r>
            <w:proofErr w:type="spellEnd"/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Mutlukent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Mahallesi Fesleğen Sokak No:9 Çankaya ANKARA</w:t>
            </w:r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“Information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Request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Protection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Personal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Data”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written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envelope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5713DD">
        <w:trPr>
          <w:jc w:val="center"/>
        </w:trPr>
        <w:tc>
          <w:tcPr>
            <w:tcW w:w="3020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Declaration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via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notary</w:t>
            </w:r>
            <w:proofErr w:type="spellEnd"/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Mutlukent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Mahallesi Fesleğen Sokak No:9 Çankaya ANKARA</w:t>
            </w:r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“Information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Request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Protection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Personal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Data”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written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envelope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5713DD">
        <w:trPr>
          <w:jc w:val="center"/>
        </w:trPr>
        <w:tc>
          <w:tcPr>
            <w:tcW w:w="3020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Submission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Electronic Mail</w:t>
            </w:r>
            <w:r w:rsidR="002A3C0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(KEP)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signed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secure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electronic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mobile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sent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through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a mail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provided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company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advance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stored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in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database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beforehand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3021" w:type="dxa"/>
          </w:tcPr>
          <w:p w:rsidR="005713DD" w:rsidRDefault="0083381A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hyperlink r:id="rId6">
              <w:r w:rsidR="001D368D">
                <w:rPr>
                  <w:rStyle w:val="Kpr"/>
                  <w:rFonts w:eastAsia="Times New Roman" w:cstheme="minorHAnsi"/>
                  <w:lang w:eastAsia="tr-TR"/>
                </w:rPr>
                <w:t>i</w:t>
              </w:r>
              <w:r w:rsidR="001D368D">
                <w:rPr>
                  <w:rStyle w:val="Kpr"/>
                </w:rPr>
                <w:t>nterprobe@hs03.kep.tr</w:t>
              </w:r>
            </w:hyperlink>
            <w:r w:rsidR="001D368D">
              <w:rPr>
                <w:color w:val="000000" w:themeColor="text1"/>
              </w:rPr>
              <w:t xml:space="preserve"> </w:t>
            </w:r>
          </w:p>
        </w:tc>
        <w:tc>
          <w:tcPr>
            <w:tcW w:w="3021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“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Request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information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regarding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Protection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Personal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Data ”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written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subject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electronic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mail.</w:t>
            </w:r>
          </w:p>
        </w:tc>
      </w:tr>
    </w:tbl>
    <w:p w:rsidR="005713DD" w:rsidRDefault="005713D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5713DD" w:rsidRDefault="001D368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Article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3 – </w:t>
      </w:r>
      <w:proofErr w:type="spellStart"/>
      <w:r>
        <w:rPr>
          <w:rFonts w:cstheme="minorHAnsi"/>
          <w:b/>
          <w:bCs/>
          <w:sz w:val="20"/>
          <w:szCs w:val="20"/>
        </w:rPr>
        <w:t>Contact</w:t>
      </w:r>
      <w:proofErr w:type="spellEnd"/>
      <w:r>
        <w:rPr>
          <w:rFonts w:cstheme="minorHAnsi"/>
          <w:b/>
          <w:bCs/>
          <w:sz w:val="20"/>
          <w:szCs w:val="20"/>
        </w:rPr>
        <w:t xml:space="preserve"> Information of </w:t>
      </w:r>
      <w:proofErr w:type="spellStart"/>
      <w:r>
        <w:rPr>
          <w:rFonts w:cstheme="minorHAnsi"/>
          <w:b/>
          <w:bCs/>
          <w:sz w:val="20"/>
          <w:szCs w:val="20"/>
        </w:rPr>
        <w:t>The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b/>
          <w:bCs/>
          <w:sz w:val="20"/>
          <w:szCs w:val="20"/>
        </w:rPr>
        <w:t>Inquiring</w:t>
      </w:r>
      <w:proofErr w:type="spellEnd"/>
      <w:r>
        <w:rPr>
          <w:rFonts w:cstheme="minorHAnsi"/>
          <w:b/>
          <w:bCs/>
          <w:sz w:val="20"/>
          <w:szCs w:val="20"/>
        </w:rPr>
        <w:t xml:space="preserve">  </w:t>
      </w:r>
      <w:proofErr w:type="spellStart"/>
      <w:r>
        <w:rPr>
          <w:rFonts w:cstheme="minorHAnsi"/>
          <w:b/>
          <w:bCs/>
          <w:sz w:val="20"/>
          <w:szCs w:val="20"/>
        </w:rPr>
        <w:t>Individual</w:t>
      </w:r>
      <w:proofErr w:type="spellEnd"/>
      <w:proofErr w:type="gramEnd"/>
    </w:p>
    <w:tbl>
      <w:tblPr>
        <w:tblStyle w:val="TabloKlavuz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4657"/>
      </w:tblGrid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Surname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Identity </w:t>
            </w:r>
            <w:proofErr w:type="spellStart"/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Number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TC NO) /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Tax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No: </w:t>
            </w:r>
          </w:p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(Information of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Nationaly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Identity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Passport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Number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Receiving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Address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Receiving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e-mail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Address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Phone/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Fax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/GSM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713DD">
        <w:trPr>
          <w:jc w:val="center"/>
        </w:trPr>
        <w:tc>
          <w:tcPr>
            <w:tcW w:w="4405" w:type="dxa"/>
          </w:tcPr>
          <w:p w:rsidR="005713DD" w:rsidRDefault="001D368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Your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relationship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our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Company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Worker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Customer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Supplier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Past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Worker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Worker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Canditate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on...)</w:t>
            </w:r>
          </w:p>
        </w:tc>
        <w:tc>
          <w:tcPr>
            <w:tcW w:w="4656" w:type="dxa"/>
          </w:tcPr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5713DD" w:rsidRDefault="005713D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5713DD" w:rsidRDefault="005713D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5713DD" w:rsidRDefault="001D368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Article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4 – </w:t>
      </w:r>
      <w:proofErr w:type="spellStart"/>
      <w:r>
        <w:rPr>
          <w:rFonts w:cstheme="minorHAnsi"/>
          <w:b/>
          <w:bCs/>
          <w:sz w:val="20"/>
          <w:szCs w:val="20"/>
        </w:rPr>
        <w:t>Response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to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The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Submission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</w:p>
    <w:p w:rsidR="005713DD" w:rsidRDefault="001D368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4.1.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Depending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on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nature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your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requests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submissions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provided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will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receive</w:t>
      </w:r>
      <w:proofErr w:type="spellEnd"/>
      <w:r>
        <w:rPr>
          <w:rFonts w:cstheme="minorHAnsi"/>
          <w:sz w:val="20"/>
          <w:szCs w:val="20"/>
        </w:rPr>
        <w:t xml:space="preserve">  a </w:t>
      </w:r>
      <w:proofErr w:type="spellStart"/>
      <w:r>
        <w:rPr>
          <w:rFonts w:cstheme="minorHAnsi"/>
          <w:sz w:val="20"/>
          <w:szCs w:val="20"/>
        </w:rPr>
        <w:t>response</w:t>
      </w:r>
      <w:proofErr w:type="spellEnd"/>
      <w:r>
        <w:rPr>
          <w:rFonts w:cstheme="minorHAnsi"/>
          <w:sz w:val="20"/>
          <w:szCs w:val="20"/>
        </w:rPr>
        <w:t xml:space="preserve"> in “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shortest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period</w:t>
      </w:r>
      <w:proofErr w:type="spellEnd"/>
      <w:r>
        <w:rPr>
          <w:rFonts w:cstheme="minorHAnsi"/>
          <w:sz w:val="20"/>
          <w:szCs w:val="20"/>
        </w:rPr>
        <w:t xml:space="preserve"> of time </w:t>
      </w:r>
      <w:proofErr w:type="spellStart"/>
      <w:r>
        <w:rPr>
          <w:rFonts w:cstheme="minorHAnsi"/>
          <w:sz w:val="20"/>
          <w:szCs w:val="20"/>
        </w:rPr>
        <w:t>possible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30 </w:t>
      </w:r>
      <w:proofErr w:type="spellStart"/>
      <w:r>
        <w:rPr>
          <w:rFonts w:cstheme="minorHAnsi"/>
          <w:sz w:val="20"/>
          <w:szCs w:val="20"/>
        </w:rPr>
        <w:t>days</w:t>
      </w:r>
      <w:proofErr w:type="spellEnd"/>
      <w:r>
        <w:rPr>
          <w:rFonts w:cstheme="minorHAnsi"/>
          <w:sz w:val="20"/>
          <w:szCs w:val="20"/>
        </w:rPr>
        <w:t xml:space="preserve"> at </w:t>
      </w:r>
      <w:proofErr w:type="spellStart"/>
      <w:r>
        <w:rPr>
          <w:rFonts w:cstheme="minorHAnsi"/>
          <w:sz w:val="20"/>
          <w:szCs w:val="20"/>
        </w:rPr>
        <w:t>most</w:t>
      </w:r>
      <w:proofErr w:type="spellEnd"/>
      <w:r>
        <w:rPr>
          <w:rFonts w:cstheme="minorHAnsi"/>
          <w:sz w:val="20"/>
          <w:szCs w:val="20"/>
        </w:rPr>
        <w:t xml:space="preserve">” in </w:t>
      </w:r>
      <w:proofErr w:type="spellStart"/>
      <w:r>
        <w:rPr>
          <w:rFonts w:cstheme="minorHAnsi"/>
          <w:sz w:val="20"/>
          <w:szCs w:val="20"/>
        </w:rPr>
        <w:t>accordance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with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13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Law</w:t>
      </w:r>
      <w:proofErr w:type="spellEnd"/>
      <w:r>
        <w:rPr>
          <w:rFonts w:cstheme="minorHAnsi"/>
          <w:sz w:val="20"/>
          <w:szCs w:val="20"/>
        </w:rPr>
        <w:t xml:space="preserve"> on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Protection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Personal</w:t>
      </w:r>
      <w:proofErr w:type="spellEnd"/>
      <w:r>
        <w:rPr>
          <w:rFonts w:cstheme="minorHAnsi"/>
          <w:sz w:val="20"/>
          <w:szCs w:val="20"/>
        </w:rPr>
        <w:t xml:space="preserve"> Data No. 6698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5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“</w:t>
      </w:r>
      <w:proofErr w:type="spellStart"/>
      <w:r>
        <w:rPr>
          <w:rFonts w:cstheme="minorHAnsi"/>
          <w:sz w:val="20"/>
          <w:szCs w:val="20"/>
        </w:rPr>
        <w:t>Communiqué</w:t>
      </w:r>
      <w:proofErr w:type="spellEnd"/>
      <w:r>
        <w:rPr>
          <w:rFonts w:cstheme="minorHAnsi"/>
          <w:sz w:val="20"/>
          <w:szCs w:val="20"/>
        </w:rPr>
        <w:t xml:space="preserve"> on Application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Data </w:t>
      </w:r>
      <w:proofErr w:type="spellStart"/>
      <w:r>
        <w:rPr>
          <w:rFonts w:cstheme="minorHAnsi"/>
          <w:sz w:val="20"/>
          <w:szCs w:val="20"/>
        </w:rPr>
        <w:t>Controllers</w:t>
      </w:r>
      <w:proofErr w:type="spellEnd"/>
      <w:r>
        <w:rPr>
          <w:rFonts w:cstheme="minorHAnsi"/>
          <w:sz w:val="20"/>
          <w:szCs w:val="20"/>
        </w:rPr>
        <w:t xml:space="preserve">”. </w:t>
      </w:r>
      <w:proofErr w:type="spellStart"/>
      <w:r>
        <w:rPr>
          <w:rFonts w:cstheme="minorHAnsi"/>
          <w:sz w:val="20"/>
          <w:szCs w:val="20"/>
        </w:rPr>
        <w:t>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responses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will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deliverd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through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instrument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inquiry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will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provided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side</w:t>
      </w:r>
      <w:proofErr w:type="spellEnd"/>
      <w:r>
        <w:rPr>
          <w:rFonts w:cstheme="minorHAnsi"/>
          <w:sz w:val="20"/>
          <w:szCs w:val="20"/>
        </w:rPr>
        <w:t xml:space="preserve"> in </w:t>
      </w:r>
      <w:proofErr w:type="spellStart"/>
      <w:r>
        <w:rPr>
          <w:rFonts w:cstheme="minorHAnsi"/>
          <w:sz w:val="20"/>
          <w:szCs w:val="20"/>
        </w:rPr>
        <w:t>written</w:t>
      </w:r>
      <w:proofErr w:type="spellEnd"/>
      <w:r>
        <w:rPr>
          <w:rFonts w:cstheme="minorHAnsi"/>
          <w:sz w:val="20"/>
          <w:szCs w:val="20"/>
        </w:rPr>
        <w:t xml:space="preserve"> form </w:t>
      </w:r>
      <w:proofErr w:type="spellStart"/>
      <w:r>
        <w:rPr>
          <w:rFonts w:cstheme="minorHAnsi"/>
          <w:sz w:val="20"/>
          <w:szCs w:val="20"/>
        </w:rPr>
        <w:t>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through</w:t>
      </w:r>
      <w:proofErr w:type="spellEnd"/>
      <w:r>
        <w:rPr>
          <w:rFonts w:cstheme="minorHAnsi"/>
          <w:sz w:val="20"/>
          <w:szCs w:val="20"/>
        </w:rPr>
        <w:t xml:space="preserve"> an </w:t>
      </w:r>
      <w:proofErr w:type="spellStart"/>
      <w:r>
        <w:rPr>
          <w:rFonts w:cstheme="minorHAnsi"/>
          <w:sz w:val="20"/>
          <w:szCs w:val="20"/>
        </w:rPr>
        <w:t>electronic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environment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free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charge</w:t>
      </w:r>
      <w:proofErr w:type="spellEnd"/>
      <w:r>
        <w:rPr>
          <w:rFonts w:cstheme="minorHAnsi"/>
          <w:sz w:val="20"/>
          <w:szCs w:val="20"/>
        </w:rPr>
        <w:t xml:space="preserve"> in </w:t>
      </w:r>
      <w:proofErr w:type="spellStart"/>
      <w:r>
        <w:rPr>
          <w:rFonts w:cstheme="minorHAnsi"/>
          <w:sz w:val="20"/>
          <w:szCs w:val="20"/>
        </w:rPr>
        <w:t>accordance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with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article</w:t>
      </w:r>
      <w:proofErr w:type="spellEnd"/>
      <w:r>
        <w:rPr>
          <w:rFonts w:cstheme="minorHAnsi"/>
          <w:sz w:val="20"/>
          <w:szCs w:val="20"/>
        </w:rPr>
        <w:t xml:space="preserve"> No. 13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same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Law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However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if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your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proceeding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generates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cost</w:t>
      </w:r>
      <w:proofErr w:type="spellEnd"/>
      <w:r>
        <w:rPr>
          <w:rFonts w:cstheme="minorHAnsi"/>
          <w:sz w:val="20"/>
          <w:szCs w:val="20"/>
        </w:rPr>
        <w:t xml:space="preserve">, a </w:t>
      </w:r>
      <w:proofErr w:type="spellStart"/>
      <w:r>
        <w:rPr>
          <w:rFonts w:cstheme="minorHAnsi"/>
          <w:sz w:val="20"/>
          <w:szCs w:val="20"/>
        </w:rPr>
        <w:t>charge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will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made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by</w:t>
      </w:r>
      <w:proofErr w:type="spellEnd"/>
      <w:r>
        <w:rPr>
          <w:rFonts w:cstheme="minorHAnsi"/>
          <w:sz w:val="20"/>
          <w:szCs w:val="20"/>
        </w:rPr>
        <w:t xml:space="preserve"> INTERPROBE Information Technologies </w:t>
      </w:r>
      <w:proofErr w:type="spellStart"/>
      <w:r>
        <w:rPr>
          <w:rFonts w:cstheme="minorHAnsi"/>
          <w:sz w:val="20"/>
          <w:szCs w:val="20"/>
        </w:rPr>
        <w:t>Inc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>
        <w:rPr>
          <w:rFonts w:cstheme="minorHAnsi"/>
          <w:sz w:val="20"/>
          <w:szCs w:val="20"/>
        </w:rPr>
        <w:t>according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rates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determined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Comittee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Protection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Personal</w:t>
      </w:r>
      <w:proofErr w:type="spellEnd"/>
      <w:r>
        <w:rPr>
          <w:rFonts w:cstheme="minorHAnsi"/>
          <w:sz w:val="20"/>
          <w:szCs w:val="20"/>
        </w:rPr>
        <w:t xml:space="preserve"> Data.</w:t>
      </w:r>
    </w:p>
    <w:p w:rsidR="005713DD" w:rsidRDefault="001D368D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Name/</w:t>
      </w:r>
      <w:proofErr w:type="spellStart"/>
      <w:r>
        <w:rPr>
          <w:rFonts w:cstheme="minorHAnsi"/>
          <w:i/>
          <w:iCs/>
          <w:sz w:val="20"/>
          <w:szCs w:val="20"/>
        </w:rPr>
        <w:t>Surname</w:t>
      </w:r>
      <w:proofErr w:type="spellEnd"/>
      <w:r>
        <w:rPr>
          <w:rFonts w:cstheme="minorHAnsi"/>
          <w:i/>
          <w:iCs/>
          <w:sz w:val="20"/>
          <w:szCs w:val="20"/>
        </w:rPr>
        <w:tab/>
        <w:t xml:space="preserve">:                                                                         </w:t>
      </w:r>
    </w:p>
    <w:p w:rsidR="005713DD" w:rsidRDefault="001D368D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Signature</w:t>
      </w:r>
      <w:proofErr w:type="spellEnd"/>
      <w:r>
        <w:rPr>
          <w:rFonts w:cstheme="minorHAnsi"/>
          <w:i/>
          <w:iCs/>
          <w:sz w:val="20"/>
          <w:szCs w:val="20"/>
        </w:rPr>
        <w:tab/>
        <w:t>:</w:t>
      </w:r>
    </w:p>
    <w:p w:rsidR="005713DD" w:rsidRDefault="001D368D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Date</w:t>
      </w:r>
      <w:proofErr w:type="spellEnd"/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:</w:t>
      </w:r>
    </w:p>
    <w:sectPr w:rsidR="005713DD">
      <w:headerReference w:type="default" r:id="rId7"/>
      <w:footerReference w:type="default" r:id="rId8"/>
      <w:pgSz w:w="11906" w:h="16838"/>
      <w:pgMar w:top="765" w:right="720" w:bottom="765" w:left="720" w:header="708" w:footer="708" w:gutter="0"/>
      <w:pgBorders>
        <w:top w:val="double" w:sz="4" w:space="10" w:color="000000"/>
        <w:left w:val="double" w:sz="4" w:space="11" w:color="000000"/>
        <w:bottom w:val="double" w:sz="4" w:space="10" w:color="000000"/>
        <w:right w:val="double" w:sz="4" w:space="11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1A" w:rsidRDefault="0083381A">
      <w:pPr>
        <w:spacing w:after="0" w:line="240" w:lineRule="auto"/>
      </w:pPr>
      <w:r>
        <w:separator/>
      </w:r>
    </w:p>
  </w:endnote>
  <w:endnote w:type="continuationSeparator" w:id="0">
    <w:p w:rsidR="0083381A" w:rsidRDefault="0083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839811"/>
      <w:docPartObj>
        <w:docPartGallery w:val="Page Numbers (Top of Page)"/>
        <w:docPartUnique/>
      </w:docPartObj>
    </w:sdtPr>
    <w:sdtEndPr/>
    <w:sdtContent>
      <w:p w:rsidR="005713DD" w:rsidRDefault="001D368D">
        <w:pPr>
          <w:pStyle w:val="AltBilgi"/>
          <w:rPr>
            <w:rFonts w:cstheme="minorHAnsi"/>
            <w:sz w:val="20"/>
            <w:szCs w:val="20"/>
          </w:rPr>
        </w:pPr>
        <w:r>
          <w:rPr>
            <w:rFonts w:cstheme="minorHAnsi"/>
            <w:sz w:val="16"/>
            <w:szCs w:val="16"/>
          </w:rPr>
          <w:t>INP.KVK.FRM.01 / 12.11.2021 / v1.0</w:t>
        </w:r>
        <w:r>
          <w:rPr>
            <w:rFonts w:cstheme="minorHAnsi"/>
            <w:sz w:val="20"/>
            <w:szCs w:val="20"/>
          </w:rPr>
          <w:t xml:space="preserve">                                              </w:t>
        </w:r>
        <w:r>
          <w:rPr>
            <w:rFonts w:cs="Calibri"/>
            <w:sz w:val="20"/>
            <w:szCs w:val="20"/>
          </w:rPr>
          <w:fldChar w:fldCharType="begin"/>
        </w:r>
        <w:r>
          <w:rPr>
            <w:rFonts w:cs="Calibri"/>
            <w:sz w:val="20"/>
            <w:szCs w:val="20"/>
          </w:rPr>
          <w:instrText xml:space="preserve"> PAGE </w:instrText>
        </w:r>
        <w:r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sz w:val="20"/>
            <w:szCs w:val="20"/>
          </w:rPr>
          <w:t>2</w:t>
        </w:r>
        <w:r>
          <w:rPr>
            <w:rFonts w:cs="Calibri"/>
            <w:sz w:val="20"/>
            <w:szCs w:val="20"/>
          </w:rPr>
          <w:fldChar w:fldCharType="end"/>
        </w:r>
        <w:r>
          <w:rPr>
            <w:rFonts w:cstheme="minorHAnsi"/>
            <w:sz w:val="20"/>
            <w:szCs w:val="20"/>
          </w:rPr>
          <w:t xml:space="preserve"> / </w:t>
        </w:r>
        <w:r>
          <w:rPr>
            <w:rFonts w:cs="Calibri"/>
            <w:sz w:val="20"/>
            <w:szCs w:val="20"/>
          </w:rPr>
          <w:fldChar w:fldCharType="begin"/>
        </w:r>
        <w:r>
          <w:rPr>
            <w:rFonts w:cs="Calibri"/>
            <w:sz w:val="20"/>
            <w:szCs w:val="20"/>
          </w:rPr>
          <w:instrText xml:space="preserve"> NUMPAGES </w:instrText>
        </w:r>
        <w:r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sz w:val="20"/>
            <w:szCs w:val="20"/>
          </w:rPr>
          <w:t>2</w:t>
        </w:r>
        <w:r>
          <w:rPr>
            <w:rFonts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1A" w:rsidRDefault="0083381A">
      <w:pPr>
        <w:spacing w:after="0" w:line="240" w:lineRule="auto"/>
      </w:pPr>
      <w:r>
        <w:separator/>
      </w:r>
    </w:p>
  </w:footnote>
  <w:footnote w:type="continuationSeparator" w:id="0">
    <w:p w:rsidR="0083381A" w:rsidRDefault="0083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DD" w:rsidRDefault="001D368D">
    <w:pPr>
      <w:pStyle w:val="AralkYok"/>
      <w:jc w:val="center"/>
      <w:rPr>
        <w:color w:val="FFFFFF" w:themeColor="background1"/>
        <w:spacing w:val="54"/>
      </w:r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45540" cy="4826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color w:val="FFFFFF" w:themeColor="background1"/>
        <w:spacing w:val="54"/>
        <w:shd w:val="clear" w:color="auto" w:fill="FF0000"/>
      </w:rPr>
      <w:t>[</w:t>
    </w:r>
    <w:r w:rsidR="002A3C0C">
      <w:rPr>
        <w:color w:val="FFFFFF" w:themeColor="background1"/>
        <w:spacing w:val="54"/>
        <w:shd w:val="clear" w:color="auto" w:fill="FF0000"/>
      </w:rPr>
      <w:t>UNCLASSIFIED</w:t>
    </w:r>
    <w:r>
      <w:rPr>
        <w:color w:val="FFFFFF" w:themeColor="background1"/>
        <w:spacing w:val="54"/>
        <w:shd w:val="clear" w:color="auto" w:fill="FF0000"/>
      </w:rPr>
      <w:t>]</w:t>
    </w:r>
  </w:p>
  <w:p w:rsidR="005713DD" w:rsidRDefault="00571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DD"/>
    <w:rsid w:val="001D368D"/>
    <w:rsid w:val="002A3C0C"/>
    <w:rsid w:val="005713DD"/>
    <w:rsid w:val="0083381A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3F06"/>
  <w15:docId w15:val="{C89B476A-342E-4B4B-AD94-D4DA00B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0F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30F8"/>
    <w:rPr>
      <w:b/>
      <w:bCs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D530F8"/>
  </w:style>
  <w:style w:type="character" w:customStyle="1" w:styleId="AltBilgiChar">
    <w:name w:val="Alt Bilgi Char"/>
    <w:basedOn w:val="VarsaylanParagrafYazTipi"/>
    <w:link w:val="AltBilgi"/>
    <w:uiPriority w:val="99"/>
    <w:qFormat/>
    <w:rsid w:val="00D530F8"/>
  </w:style>
  <w:style w:type="character" w:styleId="Kpr">
    <w:name w:val="Hyperlink"/>
    <w:basedOn w:val="VarsaylanParagrafYazTipi"/>
    <w:uiPriority w:val="99"/>
    <w:unhideWhenUsed/>
    <w:rsid w:val="00D530F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7742F4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DD670E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D530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D530F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530F8"/>
    <w:pPr>
      <w:tabs>
        <w:tab w:val="center" w:pos="4536"/>
        <w:tab w:val="right" w:pos="9072"/>
      </w:tabs>
      <w:spacing w:after="0" w:line="240" w:lineRule="auto"/>
    </w:pPr>
  </w:style>
  <w:style w:type="paragraph" w:styleId="AralkYok">
    <w:name w:val="No Spacing"/>
    <w:link w:val="AralkYokChar"/>
    <w:uiPriority w:val="1"/>
    <w:qFormat/>
    <w:rsid w:val="00DD670E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probe@hs03.kep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Taşbolat</dc:creator>
  <dc:description/>
  <cp:lastModifiedBy>Oğuz TAŞBOLAT (InterProbe)</cp:lastModifiedBy>
  <cp:revision>4</cp:revision>
  <dcterms:created xsi:type="dcterms:W3CDTF">2022-08-12T12:44:00Z</dcterms:created>
  <dcterms:modified xsi:type="dcterms:W3CDTF">2022-08-12T15:00:00Z</dcterms:modified>
  <dc:language>en-US</dc:language>
</cp:coreProperties>
</file>